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</w:t>
      </w:r>
      <w:r>
        <w:rPr>
          <w:b/>
          <w:sz w:val="24"/>
          <w:szCs w:val="24"/>
        </w:rPr>
        <w:t>on and action at the December 15</w:t>
      </w:r>
      <w:r>
        <w:rPr>
          <w:b/>
          <w:sz w:val="24"/>
          <w:szCs w:val="24"/>
        </w:rPr>
        <w:t>, 2015 Regular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B3325A" w:rsidRDefault="00B3325A" w:rsidP="00B3325A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24"/>
          <w:szCs w:val="24"/>
        </w:rPr>
        <w:t xml:space="preserve">Tuesday, December 15, 2015   </w:t>
      </w:r>
      <w:r w:rsidRPr="00B3325A">
        <w:rPr>
          <w:b/>
          <w:i/>
          <w:sz w:val="32"/>
          <w:szCs w:val="32"/>
          <w:u w:val="single"/>
        </w:rPr>
        <w:t>6</w:t>
      </w:r>
      <w:r w:rsidRPr="00B3325A">
        <w:rPr>
          <w:b/>
          <w:i/>
          <w:sz w:val="32"/>
          <w:szCs w:val="32"/>
          <w:u w:val="single"/>
        </w:rPr>
        <w:t xml:space="preserve">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- Moment of Silence for the victims</w:t>
      </w:r>
    </w:p>
    <w:p w:rsidR="0032198B" w:rsidRDefault="0032198B" w:rsidP="003219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</w:t>
      </w:r>
      <w:bookmarkStart w:id="0" w:name="_GoBack"/>
      <w:bookmarkEnd w:id="0"/>
      <w:r>
        <w:rPr>
          <w:b/>
          <w:sz w:val="24"/>
          <w:szCs w:val="24"/>
        </w:rPr>
        <w:t>f the San Bernardino, CA terrorist attack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December 12, </w:t>
      </w:r>
      <w:proofErr w:type="gramStart"/>
      <w:r>
        <w:rPr>
          <w:b/>
          <w:i/>
          <w:sz w:val="24"/>
          <w:szCs w:val="24"/>
        </w:rPr>
        <w:t xml:space="preserve">2014 </w:t>
      </w:r>
      <w:r>
        <w:rPr>
          <w:b/>
          <w:i/>
          <w:sz w:val="24"/>
          <w:szCs w:val="24"/>
        </w:rPr>
        <w:t xml:space="preserve"> and</w:t>
      </w:r>
      <w:proofErr w:type="gramEnd"/>
      <w:r>
        <w:rPr>
          <w:b/>
          <w:i/>
          <w:sz w:val="24"/>
          <w:szCs w:val="24"/>
        </w:rPr>
        <w:t xml:space="preserve"> amended December 9, 2015 </w:t>
      </w:r>
      <w:r>
        <w:rPr>
          <w:b/>
          <w:i/>
          <w:sz w:val="24"/>
          <w:szCs w:val="24"/>
        </w:rPr>
        <w:t>the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firstLine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</w:t>
      </w:r>
      <w:r>
        <w:rPr>
          <w:b/>
          <w:bCs/>
          <w:sz w:val="24"/>
          <w:szCs w:val="24"/>
        </w:rPr>
        <w:t>SENTATION BY TIME TRACKER</w:t>
      </w:r>
      <w:r w:rsidR="003C3FF2">
        <w:rPr>
          <w:b/>
          <w:bCs/>
          <w:sz w:val="24"/>
          <w:szCs w:val="24"/>
        </w:rPr>
        <w:t xml:space="preserve"> – 6 P.M.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B3325A" w:rsidRDefault="00B3325A" w:rsidP="00B3325A">
      <w:pPr>
        <w:ind w:left="120" w:hanging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  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B3325A" w:rsidRDefault="00B3325A" w:rsidP="00B3325A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B3325A" w:rsidRDefault="00B3325A" w:rsidP="00B3325A">
      <w:pPr>
        <w:pStyle w:val="ListParagraph"/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APPOVAL OF CONSENT AGENDA</w:t>
      </w:r>
    </w:p>
    <w:p w:rsidR="00B3325A" w:rsidRDefault="00B3325A" w:rsidP="00B3325A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Minutes:  Mayor and Cou</w:t>
      </w:r>
      <w:r>
        <w:rPr>
          <w:b/>
          <w:bCs/>
          <w:sz w:val="24"/>
          <w:szCs w:val="24"/>
        </w:rPr>
        <w:t>ncil November 24, 2015 and December 1, 2015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 PENDING ITEMS:</w:t>
      </w:r>
    </w:p>
    <w:p w:rsidR="00B3325A" w:rsidRDefault="00B3325A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A.  Second and final reading and Pu</w:t>
      </w:r>
      <w:r>
        <w:rPr>
          <w:b/>
          <w:bCs/>
          <w:sz w:val="24"/>
          <w:szCs w:val="24"/>
        </w:rPr>
        <w:t>blic Hearing of Ordinance No. 23</w:t>
      </w:r>
      <w:r>
        <w:rPr>
          <w:b/>
          <w:bCs/>
          <w:sz w:val="24"/>
          <w:szCs w:val="24"/>
        </w:rPr>
        <w:t xml:space="preserve">-2015:  Amending </w:t>
      </w:r>
    </w:p>
    <w:p w:rsidR="00B3325A" w:rsidRDefault="00B3325A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       Chapter 4, General Licensing, Section 4-2, Peddlers and hawkers</w:t>
      </w:r>
    </w:p>
    <w:p w:rsidR="00B3325A" w:rsidRPr="00B3325A" w:rsidRDefault="00B3325A" w:rsidP="00B3325A">
      <w:pPr>
        <w:numPr>
          <w:ilvl w:val="0"/>
          <w:numId w:val="3"/>
        </w:numPr>
        <w:ind w:left="1170" w:hanging="540"/>
        <w:rPr>
          <w:b/>
          <w:bCs/>
          <w:sz w:val="24"/>
          <w:szCs w:val="24"/>
        </w:rPr>
      </w:pPr>
      <w:r w:rsidRPr="00B3325A">
        <w:rPr>
          <w:b/>
          <w:bCs/>
          <w:sz w:val="24"/>
          <w:szCs w:val="24"/>
        </w:rPr>
        <w:t>Public Notice Statement</w:t>
      </w:r>
    </w:p>
    <w:p w:rsidR="00B3325A" w:rsidRPr="00B3325A" w:rsidRDefault="00B3325A" w:rsidP="00B3325A">
      <w:pPr>
        <w:numPr>
          <w:ilvl w:val="0"/>
          <w:numId w:val="3"/>
        </w:numPr>
        <w:ind w:left="1170" w:hanging="540"/>
        <w:rPr>
          <w:b/>
          <w:bCs/>
          <w:sz w:val="24"/>
          <w:szCs w:val="24"/>
        </w:rPr>
      </w:pPr>
      <w:r w:rsidRPr="00B3325A">
        <w:rPr>
          <w:b/>
          <w:bCs/>
          <w:sz w:val="24"/>
          <w:szCs w:val="24"/>
        </w:rPr>
        <w:t>Motion that ordinance be read by title</w:t>
      </w:r>
    </w:p>
    <w:p w:rsidR="00B3325A" w:rsidRPr="00B3325A" w:rsidRDefault="00B3325A" w:rsidP="00B3325A">
      <w:pPr>
        <w:numPr>
          <w:ilvl w:val="0"/>
          <w:numId w:val="3"/>
        </w:numPr>
        <w:ind w:left="1170" w:hanging="540"/>
        <w:rPr>
          <w:b/>
          <w:bCs/>
          <w:sz w:val="24"/>
          <w:szCs w:val="24"/>
        </w:rPr>
      </w:pPr>
      <w:r w:rsidRPr="00B3325A">
        <w:rPr>
          <w:b/>
          <w:bCs/>
          <w:sz w:val="24"/>
          <w:szCs w:val="24"/>
        </w:rPr>
        <w:t>Motion to open Public Hearing</w:t>
      </w:r>
    </w:p>
    <w:p w:rsidR="00B3325A" w:rsidRPr="00B3325A" w:rsidRDefault="00B3325A" w:rsidP="00B3325A">
      <w:pPr>
        <w:numPr>
          <w:ilvl w:val="0"/>
          <w:numId w:val="3"/>
        </w:numPr>
        <w:ind w:left="1170" w:hanging="540"/>
        <w:rPr>
          <w:b/>
          <w:bCs/>
          <w:sz w:val="24"/>
          <w:szCs w:val="24"/>
        </w:rPr>
      </w:pPr>
      <w:r w:rsidRPr="00B3325A">
        <w:rPr>
          <w:b/>
          <w:bCs/>
          <w:sz w:val="24"/>
          <w:szCs w:val="24"/>
        </w:rPr>
        <w:t>Motion to close Public Hearing</w:t>
      </w:r>
    </w:p>
    <w:p w:rsidR="00B3325A" w:rsidRPr="00B3325A" w:rsidRDefault="00B3325A" w:rsidP="00B3325A">
      <w:pPr>
        <w:numPr>
          <w:ilvl w:val="0"/>
          <w:numId w:val="3"/>
        </w:numPr>
        <w:ind w:left="1170" w:hanging="540"/>
        <w:rPr>
          <w:b/>
          <w:bCs/>
          <w:sz w:val="24"/>
          <w:szCs w:val="24"/>
        </w:rPr>
      </w:pPr>
      <w:r w:rsidRPr="00B3325A">
        <w:rPr>
          <w:b/>
          <w:bCs/>
          <w:sz w:val="24"/>
          <w:szCs w:val="24"/>
        </w:rPr>
        <w:t>Motion for Adoption</w:t>
      </w:r>
    </w:p>
    <w:p w:rsidR="00B3325A" w:rsidRDefault="00B3325A" w:rsidP="00B3325A">
      <w:pPr>
        <w:ind w:left="630"/>
        <w:rPr>
          <w:b/>
          <w:bCs/>
          <w:sz w:val="24"/>
          <w:szCs w:val="24"/>
        </w:rPr>
      </w:pPr>
    </w:p>
    <w:p w:rsidR="00B3325A" w:rsidRDefault="00B3325A" w:rsidP="00B3325A">
      <w:pPr>
        <w:ind w:left="900"/>
        <w:rPr>
          <w:b/>
          <w:bCs/>
          <w:sz w:val="24"/>
          <w:szCs w:val="24"/>
        </w:rPr>
      </w:pPr>
    </w:p>
    <w:p w:rsidR="00B3325A" w:rsidRDefault="00B3325A" w:rsidP="00B3325A">
      <w:pPr>
        <w:pStyle w:val="ListParagraph"/>
        <w:numPr>
          <w:ilvl w:val="0"/>
          <w:numId w:val="4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NEW BUSINESS</w:t>
      </w:r>
    </w:p>
    <w:p w:rsidR="00B3325A" w:rsidRDefault="00B3325A" w:rsidP="00B3325A">
      <w:pPr>
        <w:pStyle w:val="ListParagraph"/>
        <w:numPr>
          <w:ilvl w:val="0"/>
          <w:numId w:val="5"/>
        </w:numPr>
        <w:tabs>
          <w:tab w:val="left" w:pos="450"/>
        </w:tabs>
        <w:ind w:left="54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Ad</w:t>
      </w:r>
      <w:r>
        <w:rPr>
          <w:b/>
          <w:bCs/>
          <w:sz w:val="24"/>
          <w:szCs w:val="24"/>
        </w:rPr>
        <w:t>option of Resolution No. 2015-12</w:t>
      </w:r>
      <w:r>
        <w:rPr>
          <w:b/>
          <w:bCs/>
          <w:sz w:val="24"/>
          <w:szCs w:val="24"/>
        </w:rPr>
        <w:t xml:space="preserve">.___:  Payment of Bills  </w:t>
      </w:r>
    </w:p>
    <w:p w:rsidR="00B3325A" w:rsidRDefault="00B3325A" w:rsidP="00B3325A">
      <w:pPr>
        <w:pStyle w:val="ListParagraph"/>
        <w:numPr>
          <w:ilvl w:val="0"/>
          <w:numId w:val="5"/>
        </w:numPr>
        <w:tabs>
          <w:tab w:val="left" w:pos="450"/>
        </w:tabs>
        <w:ind w:left="54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Adoption o</w:t>
      </w:r>
      <w:r>
        <w:rPr>
          <w:b/>
          <w:bCs/>
          <w:sz w:val="24"/>
          <w:szCs w:val="24"/>
        </w:rPr>
        <w:t>f Tax Office Resolutions 2015-12.___ through 2015-12</w:t>
      </w:r>
      <w:r>
        <w:rPr>
          <w:b/>
          <w:bCs/>
          <w:sz w:val="24"/>
          <w:szCs w:val="24"/>
        </w:rPr>
        <w:t>.___:</w:t>
      </w:r>
    </w:p>
    <w:p w:rsidR="00B3325A" w:rsidRDefault="00B3325A" w:rsidP="00B3325A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Overpayment</w:t>
      </w:r>
      <w:r>
        <w:rPr>
          <w:b/>
          <w:bCs/>
          <w:sz w:val="24"/>
          <w:szCs w:val="24"/>
        </w:rPr>
        <w:t>; B</w:t>
      </w:r>
      <w:r>
        <w:rPr>
          <w:b/>
          <w:bCs/>
          <w:sz w:val="24"/>
          <w:szCs w:val="24"/>
        </w:rPr>
        <w:t>lock 53; Lot 106</w:t>
      </w:r>
    </w:p>
    <w:p w:rsidR="00B3325A" w:rsidRDefault="00B3325A" w:rsidP="00B3325A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Court Refund; Block 60.01; Lot 16</w:t>
      </w:r>
    </w:p>
    <w:p w:rsidR="00B3325A" w:rsidRDefault="00B3325A" w:rsidP="00B3325A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Court Refund; Block 67.01; Lot 17</w:t>
      </w:r>
    </w:p>
    <w:p w:rsidR="00B3325A" w:rsidRDefault="00B3325A" w:rsidP="00B3325A">
      <w:pPr>
        <w:pStyle w:val="ListParagraph"/>
        <w:numPr>
          <w:ilvl w:val="0"/>
          <w:numId w:val="5"/>
        </w:numPr>
        <w:tabs>
          <w:tab w:val="left" w:pos="450"/>
        </w:tabs>
        <w:ind w:left="54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Ad</w:t>
      </w:r>
      <w:r>
        <w:rPr>
          <w:b/>
          <w:bCs/>
          <w:sz w:val="24"/>
          <w:szCs w:val="24"/>
        </w:rPr>
        <w:t>option of Resolution No. 2015-12</w:t>
      </w:r>
      <w:r w:rsidR="003C3FF2">
        <w:rPr>
          <w:b/>
          <w:bCs/>
          <w:sz w:val="24"/>
          <w:szCs w:val="24"/>
        </w:rPr>
        <w:t xml:space="preserve">.___:  Chapter 159 </w:t>
      </w:r>
      <w:r>
        <w:rPr>
          <w:b/>
          <w:bCs/>
          <w:sz w:val="24"/>
          <w:szCs w:val="24"/>
        </w:rPr>
        <w:t xml:space="preserve">Livingston </w:t>
      </w:r>
      <w:r w:rsidR="003C3FF2">
        <w:rPr>
          <w:b/>
          <w:bCs/>
          <w:sz w:val="24"/>
          <w:szCs w:val="24"/>
        </w:rPr>
        <w:t>District</w:t>
      </w:r>
    </w:p>
    <w:p w:rsidR="00B3325A" w:rsidRDefault="00B3325A" w:rsidP="00B3325A">
      <w:pPr>
        <w:pStyle w:val="ListParagraph"/>
        <w:tabs>
          <w:tab w:val="left" w:pos="450"/>
        </w:tabs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Board of Education</w:t>
      </w:r>
      <w:r w:rsidR="003C3FF2">
        <w:rPr>
          <w:b/>
          <w:bCs/>
          <w:sz w:val="24"/>
          <w:szCs w:val="24"/>
        </w:rPr>
        <w:t xml:space="preserve"> – construction services</w:t>
      </w:r>
    </w:p>
    <w:p w:rsidR="00B3325A" w:rsidRDefault="00B3325A" w:rsidP="00B3325A">
      <w:pPr>
        <w:tabs>
          <w:tab w:val="left" w:pos="450"/>
        </w:tabs>
        <w:rPr>
          <w:b/>
          <w:bCs/>
          <w:sz w:val="24"/>
          <w:szCs w:val="24"/>
        </w:rPr>
      </w:pPr>
    </w:p>
    <w:p w:rsidR="00EB23BA" w:rsidRDefault="00B3325A" w:rsidP="00EB23BA">
      <w:pPr>
        <w:pStyle w:val="ListParagraph"/>
        <w:numPr>
          <w:ilvl w:val="0"/>
          <w:numId w:val="5"/>
        </w:numPr>
        <w:tabs>
          <w:tab w:val="left" w:pos="450"/>
        </w:tabs>
        <w:ind w:left="54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Ad</w:t>
      </w:r>
      <w:r w:rsidR="00EB23BA">
        <w:rPr>
          <w:b/>
          <w:bCs/>
          <w:sz w:val="24"/>
          <w:szCs w:val="24"/>
        </w:rPr>
        <w:t>option of Resolution No. 2015-12</w:t>
      </w:r>
      <w:r>
        <w:rPr>
          <w:b/>
          <w:bCs/>
          <w:sz w:val="24"/>
          <w:szCs w:val="24"/>
        </w:rPr>
        <w:t xml:space="preserve">.___:  Authorization </w:t>
      </w:r>
      <w:r w:rsidR="00EB23BA">
        <w:rPr>
          <w:b/>
          <w:bCs/>
          <w:sz w:val="24"/>
          <w:szCs w:val="24"/>
        </w:rPr>
        <w:t>for sick leave Water/Sewer</w:t>
      </w:r>
    </w:p>
    <w:p w:rsidR="00EB23BA" w:rsidRDefault="00EB23BA" w:rsidP="00EB23BA">
      <w:pPr>
        <w:pStyle w:val="ListParagraph"/>
        <w:tabs>
          <w:tab w:val="left" w:pos="450"/>
        </w:tabs>
        <w:ind w:left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>employee</w:t>
      </w:r>
      <w:proofErr w:type="gramEnd"/>
    </w:p>
    <w:p w:rsidR="00B3325A" w:rsidRDefault="00EB23BA" w:rsidP="00B3325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Discussion in regard to implementation of Safety Zones in Borough</w:t>
      </w:r>
    </w:p>
    <w:p w:rsidR="00EB23BA" w:rsidRDefault="00EB23BA" w:rsidP="00B3325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Discussion in regard to CDBG Grant/Reeve Avenue Utility Reconstruction Project</w:t>
      </w:r>
    </w:p>
    <w:p w:rsidR="003C3FF2" w:rsidRDefault="003C3FF2" w:rsidP="00B3325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Discussion of TV Screen Ad Community Network</w:t>
      </w:r>
    </w:p>
    <w:p w:rsidR="003C3FF2" w:rsidRDefault="003C3FF2" w:rsidP="00B3325A">
      <w:pPr>
        <w:pStyle w:val="ListParagraph"/>
        <w:numPr>
          <w:ilvl w:val="0"/>
          <w:numId w:val="5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Renewal of Liquor License Applications Peter </w:t>
      </w:r>
      <w:proofErr w:type="spellStart"/>
      <w:r>
        <w:rPr>
          <w:b/>
          <w:bCs/>
          <w:sz w:val="24"/>
          <w:szCs w:val="24"/>
        </w:rPr>
        <w:t>Kasperwicz</w:t>
      </w:r>
      <w:proofErr w:type="spellEnd"/>
      <w:r>
        <w:rPr>
          <w:b/>
          <w:bCs/>
          <w:sz w:val="24"/>
          <w:szCs w:val="24"/>
        </w:rPr>
        <w:t xml:space="preserve">, 1 Elite One, if in order </w:t>
      </w:r>
    </w:p>
    <w:p w:rsidR="003C3FF2" w:rsidRDefault="003C3FF2" w:rsidP="003C3FF2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To do so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  LATE EXECUTIVE SESSION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 GOVERNING BODY SCHEDULE</w:t>
      </w:r>
    </w:p>
    <w:p w:rsidR="00B3325A" w:rsidRPr="00EB23BA" w:rsidRDefault="00EB23BA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Reorganization and Work Session Meeting – January 5, 2015 at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B3325A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17.  ADJOURNMENT</w:t>
      </w:r>
    </w:p>
    <w:p w:rsidR="00B3325A" w:rsidRDefault="00B3325A" w:rsidP="00B3325A">
      <w:pPr>
        <w:pStyle w:val="ListParagraph"/>
        <w:jc w:val="both"/>
        <w:rPr>
          <w:b/>
          <w:bCs/>
          <w:sz w:val="24"/>
          <w:szCs w:val="24"/>
        </w:rPr>
      </w:pP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2015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Croop</w:t>
      </w:r>
      <w:proofErr w:type="spellEnd"/>
      <w:r>
        <w:rPr>
          <w:b/>
          <w:sz w:val="24"/>
          <w:szCs w:val="24"/>
        </w:rPr>
        <w:t xml:space="preserve">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Murek</w:t>
      </w:r>
      <w:proofErr w:type="spellEnd"/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Lynne Ferrara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B3325A">
      <w:pPr>
        <w:numPr>
          <w:ilvl w:val="0"/>
          <w:numId w:val="8"/>
        </w:numPr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32198B"/>
    <w:sectPr w:rsidR="00487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213B69"/>
    <w:rsid w:val="0032198B"/>
    <w:rsid w:val="003C3FF2"/>
    <w:rsid w:val="004C2F56"/>
    <w:rsid w:val="00B3325A"/>
    <w:rsid w:val="00E641DE"/>
    <w:rsid w:val="00E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2015-12-11T16:49:00Z</cp:lastPrinted>
  <dcterms:created xsi:type="dcterms:W3CDTF">2015-12-11T16:52:00Z</dcterms:created>
  <dcterms:modified xsi:type="dcterms:W3CDTF">2015-12-11T16:52:00Z</dcterms:modified>
</cp:coreProperties>
</file>